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DA" w:rsidRDefault="00BF66DA" w:rsidP="00BF66DA">
      <w:pPr>
        <w:spacing w:line="48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仿宋_GB2312" w:hint="eastAsia"/>
          <w:bCs/>
          <w:sz w:val="32"/>
          <w:szCs w:val="32"/>
        </w:rPr>
        <w:t>附件一</w:t>
      </w:r>
    </w:p>
    <w:p w:rsidR="00BF66DA" w:rsidRPr="00212D0C" w:rsidRDefault="00BF66DA" w:rsidP="00BF66DA">
      <w:pPr>
        <w:tabs>
          <w:tab w:val="right" w:leader="dot" w:pos="8720"/>
        </w:tabs>
        <w:ind w:leftChars="200" w:left="420"/>
        <w:jc w:val="center"/>
        <w:rPr>
          <w:rFonts w:ascii="Times New Roman" w:hAnsi="Times New Roman"/>
          <w:b/>
          <w:sz w:val="36"/>
          <w:szCs w:val="36"/>
        </w:rPr>
      </w:pPr>
      <w:r w:rsidRPr="00212D0C">
        <w:rPr>
          <w:rFonts w:ascii="Times New Roman" w:hAnsi="Times New Roman" w:hint="eastAsia"/>
          <w:b/>
          <w:sz w:val="36"/>
          <w:szCs w:val="36"/>
        </w:rPr>
        <w:t>《全国广电监理工程师》培训详细内容</w:t>
      </w:r>
      <w:r w:rsidRPr="00212D0C">
        <w:rPr>
          <w:rFonts w:ascii="Times New Roman" w:hAnsi="Times New Roman" w:hint="eastAsia"/>
          <w:b/>
          <w:sz w:val="36"/>
          <w:szCs w:val="36"/>
        </w:rPr>
        <w:t xml:space="preserve"> 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广播电视工程概述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广播电视工程的分类及规模划分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广播电视工程监理的必要性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广播电视工程监理的性质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广播电视工程监理的定位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广播电视工程监理工作内容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广播电视工程造价控制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广播电视工程进度控制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广播电视工程质量控制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广播电视工程合同管理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广播电视工程监理资料及内容格式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广播电视设备采购的监理工作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广播电视设备监造工作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广播电视工艺接地系统的施工监理（实例）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演播室灯光工程的施工监理（实例）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舞台机械工程的施工监理（实例）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建筑声学工程的施工监理（实例）</w:t>
      </w:r>
    </w:p>
    <w:p w:rsidR="00BF66DA" w:rsidRPr="00212D0C" w:rsidRDefault="00BF66DA" w:rsidP="00BF66DA">
      <w:pPr>
        <w:numPr>
          <w:ilvl w:val="0"/>
          <w:numId w:val="1"/>
        </w:numPr>
        <w:spacing w:line="340" w:lineRule="exact"/>
        <w:ind w:left="420"/>
        <w:rPr>
          <w:rFonts w:ascii="华文仿宋" w:eastAsia="华文仿宋" w:hAnsi="华文仿宋" w:cs="Courier New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广播电视工程规范标准体系介绍</w:t>
      </w:r>
    </w:p>
    <w:p w:rsidR="00BF66DA" w:rsidRPr="00212D0C" w:rsidRDefault="00BF66DA" w:rsidP="00BF66DA">
      <w:pPr>
        <w:spacing w:line="340" w:lineRule="exact"/>
        <w:ind w:left="-60"/>
        <w:rPr>
          <w:rFonts w:ascii="华文仿宋" w:eastAsia="华文仿宋" w:hAnsi="华文仿宋" w:cs="华文仿宋"/>
          <w:sz w:val="30"/>
          <w:szCs w:val="30"/>
        </w:rPr>
      </w:pPr>
      <w:r w:rsidRPr="00212D0C">
        <w:rPr>
          <w:rFonts w:ascii="华文仿宋" w:eastAsia="华文仿宋" w:hAnsi="华文仿宋" w:cs="Courier New" w:hint="eastAsia"/>
          <w:sz w:val="30"/>
          <w:szCs w:val="30"/>
        </w:rPr>
        <w:t>附录：广播电视工程现行的规范和标准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outlineLvl w:val="0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《建设工程监理规范》（GB/T50319-2013）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《广播电视工程监理规范》（GY5080-2008）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outlineLvl w:val="0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《电影摄影棚灯光系统设计规范》（GY 5066-2000）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《调频广播、电视发射台场地选择标准》（GY 5068-2001）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outlineLvl w:val="0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《中波、短波发射台场地选择标准》（GY 5069-2001）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《广播电视建筑设计防火规范》（GY 5067-2003）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《广播中心工艺设备安装工程预算定额》（GY 5213-2001）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outlineLvl w:val="0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《钢塔桅结构设计规范》（GY 5001-2004）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《钢塔桅结构防腐蚀设计标准》（GY 5071-2004）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《地面无线广播遥控监测站建设标准及技术要求》（GY 5072-2005）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《有线电视网络工程施工及验收规范》（GY 5073-2005）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outlineLvl w:val="0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《广播电视工程测量规范》（GY 5013-2005）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《中波广播发射台工艺设备安装规范》 （GY 5056-2005）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《有线广播电视网络管理中心建设标准》（GY/T 5074-2005）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outlineLvl w:val="0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《城市有线广播电视网络设计规范》（GY 5075-2005）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《有线广播电视光缆干线网传输设备安装验收规范》（GY5076-2006）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lastRenderedPageBreak/>
        <w:t xml:space="preserve">《中短波广播天线馈线系统安装工程施工及验收规范》（GY5057-2006）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《广播电视播音（演播）室混响时间测量规范》（GY5022-2007）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《广播电影电视工程技术用房一般照明设计规范》（GY/T5061-2007）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《广播电视微波通信铁塔及桅杆质量验收规范》（GY5077-2007）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outlineLvl w:val="0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《有线电视分配网络工程安全技术规范》（GY5078-2008）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《广播电视传输网络系统安装工程预算定额》（GY5212-2008）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《扩声、会议系统安装工程施工及验收规范》（GY5055-2008）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《卫星广播电视地球站系统设备安装调试验收规范》（GY5040-2009）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《混凝土电视塔结构技术规范》(GB 50342-2003)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《厅堂扩声系统声学特性指标》(GB 50371-2006)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outlineLvl w:val="0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《电影院建筑设计规范》（JGJ 58-2008）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《中、短波广播发射台建设标准》（建标126-2009）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《广播电影电视工程建设项目竣工验收工作规程》（GY/T 5006-2010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《有线广播电视网络管理中心设计规范》（GY 5082-2010）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《省级广播电视安全播出指挥调度中心工程技术规范》（GY/T 5083—2010）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outlineLvl w:val="0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《广播电视卫星地球站建设标准》（建标131-2010）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《广播电视工程工艺接地技术规范》（GY/T5084-2011）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outlineLvl w:val="0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《广播电视卫星地球站场地要求》（GY/T5039—2011）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《广播电视监测台场地技术要求》（GY/T5085-2012）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《广播电视录（播）音室、演播室声学设计规范》（GY/T5086-2012）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《广播电视中心声学装修工程施工及验收规范》（GY/T5087-2012）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《广播电视SDH数字微波工程安装及验收规范》（GY/T5032-2012 ）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《广播电视卫星地球站工程设计规范》（GY/T5041-2012）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《广播电视中心技术用房室内环境要求》（GY/T5043-2013）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《广播电视微波站（台）工程设计规范》（GY/T5031-2013）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outlineLvl w:val="0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《电视演播室灯光系统设计规范》（GY5045-2006）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《电视演播室灯光系统施工及验收规范》（GY5070-2013）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《电视和调频广播发射天馈线系统技术指标及测量方法》（GY/T5088-2013）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 xml:space="preserve">《广播通信钢塔桅可靠性检测鉴定规范》（GY/T5089-2014） </w:t>
      </w:r>
    </w:p>
    <w:p w:rsidR="00BF66DA" w:rsidRPr="00212D0C" w:rsidRDefault="00BF66DA" w:rsidP="00BF66DA">
      <w:pPr>
        <w:numPr>
          <w:ilvl w:val="0"/>
          <w:numId w:val="2"/>
        </w:numPr>
        <w:spacing w:line="340" w:lineRule="exact"/>
        <w:rPr>
          <w:rFonts w:ascii="华文仿宋" w:eastAsia="华文仿宋" w:hAnsi="华文仿宋"/>
          <w:sz w:val="30"/>
          <w:szCs w:val="30"/>
        </w:rPr>
      </w:pPr>
      <w:r w:rsidRPr="00212D0C">
        <w:rPr>
          <w:rFonts w:ascii="华文仿宋" w:eastAsia="华文仿宋" w:hAnsi="华文仿宋" w:hint="eastAsia"/>
          <w:sz w:val="30"/>
          <w:szCs w:val="30"/>
        </w:rPr>
        <w:t>《广播电影电视工程建设项目管理规范》GY/T5091—2015</w:t>
      </w:r>
    </w:p>
    <w:p w:rsidR="00D12F8A" w:rsidRPr="00BF66DA" w:rsidRDefault="00D12F8A"/>
    <w:sectPr w:rsidR="00D12F8A" w:rsidRPr="00BF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F8A" w:rsidRDefault="00D12F8A" w:rsidP="00BF66DA">
      <w:r>
        <w:separator/>
      </w:r>
    </w:p>
  </w:endnote>
  <w:endnote w:type="continuationSeparator" w:id="1">
    <w:p w:rsidR="00D12F8A" w:rsidRDefault="00D12F8A" w:rsidP="00BF6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F8A" w:rsidRDefault="00D12F8A" w:rsidP="00BF66DA">
      <w:r>
        <w:separator/>
      </w:r>
    </w:p>
  </w:footnote>
  <w:footnote w:type="continuationSeparator" w:id="1">
    <w:p w:rsidR="00D12F8A" w:rsidRDefault="00D12F8A" w:rsidP="00BF66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042"/>
    <w:multiLevelType w:val="multilevel"/>
    <w:tmpl w:val="0B322042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78703309"/>
    <w:multiLevelType w:val="multilevel"/>
    <w:tmpl w:val="78703309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6DA"/>
    <w:rsid w:val="00BF66DA"/>
    <w:rsid w:val="00D1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6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66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6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66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Company>P R C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2015-11-25T06:12:00Z</dcterms:created>
  <dcterms:modified xsi:type="dcterms:W3CDTF">2015-11-25T06:12:00Z</dcterms:modified>
</cp:coreProperties>
</file>